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Incident response and post-mortem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an incident lead and on-call engineer triage, communicate, resolve, and learn from a service incident.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any team member observes a customer-affecting failure, or an automated alert fires for a service degradation.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The person who noticed the issue declares an incident in the agreed channel, stating what is broken and what they observed.</w:t>
      </w:r>
    </w:p>
    <w:p>
      <w:pPr>
        <w:spacing w:after="100"/>
      </w:pPr>
      <w:r>
        <w:t xml:space="preserve">Declaring early and being wrong is much cheaper than deliberating. Nobody should hesitate to declare because they are unsure it qualifies.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Incident Lead takes ownership by name and states so explicitly in the channel.</w:t>
      </w:r>
    </w:p>
    <w:p>
      <w:pPr>
        <w:spacing w:after="100"/>
      </w:pPr>
      <w:r>
        <w:t xml:space="preserve">One named owner. An incident with no explicit owner has several people assuming someone else is coordinating.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Incident Lead assesses severity based on customer impact.</w:t>
      </w:r>
    </w:p>
    <w:p>
      <w:pPr>
        <w:spacing w:after="100"/>
      </w:pPr>
      <w:r>
        <w:t xml:space="preserve">Assess by impact, not by how technically alarming the cause looks. A noisy internal failure with no customer effect is not a high-severity incident.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Customers affected or data at risk: Go to step 4: Communications Owner notifies affected customers with what is known, what is being done, and when the next update will come.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customer impact: Go to step 6: Responder investigates and applies a mitigation to restore service, recording each action taken in the incident channel as it happens.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Communications Owner notifies affected customers with what is known, what is being done, and when the next update will come.</w:t>
      </w:r>
      <w:r>
        <w:rPr>
          <w:color w:val="64748B"/>
          <w:sz w:val="16"/>
          <w:szCs w:val="16"/>
        </w:rPr>
        <w:t xml:space="preserve">   [Within 30 minutes of severity assessment]</w:t>
      </w:r>
    </w:p>
    <w:p>
      <w:pPr>
        <w:spacing w:after="100"/>
      </w:pPr>
      <w:r>
        <w:t xml:space="preserve">Commit to a next-update time and meet it even when there is no progress. Silence during an incident is what damages trust, not the incident.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Communications Owner posts updates at the promised interval until resolution.</w:t>
      </w:r>
    </w:p>
    <w:p>
      <w:pPr>
        <w:spacing w:after="100"/>
      </w:pPr>
      <w:r>
        <w:t xml:space="preserve">An update saying we are still investigating and will update again in an hour is a real update.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Responder investigates and applies a mitigation to restore service, recording each action taken in the incident channel as it happens.</w:t>
      </w:r>
    </w:p>
    <w:p>
      <w:pPr>
        <w:spacing w:after="100"/>
      </w:pPr>
      <w:r>
        <w:t xml:space="preserve">Restore service first and find the root cause second. Record actions as you go, because reconstructing a timeline afterwards from memory is unreliable and the post-mortem depends on 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Incident Lead confirms service is restored and verifies it independently rather than assuming.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Service restored: Go to step 8: Communications Owner confirms resolution to affected customers.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Not resolved: Go to step 6: Responder investigates and applies a mitigation to restore service, recording each action taken in the incident channel as it happens.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Communications Owner confirms resolution to affected customers.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Incident Lead schedules a post-mortem within five working days, while the detail is still recoverable.</w:t>
      </w:r>
      <w:r>
        <w:rPr>
          <w:color w:val="64748B"/>
          <w:sz w:val="16"/>
          <w:szCs w:val="16"/>
        </w:rPr>
        <w:t xml:space="preserve">   [Within five working days]</w:t>
      </w:r>
    </w:p>
    <w:p>
      <w:pPr>
        <w:spacing w:after="100"/>
      </w:pPr>
      <w:r>
        <w:t xml:space="preserve">Any longer and the timeline gets fuzzy and the urgency evaporates.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Incident Lead runs a blameless post-mortem producing a timeline, the contributing causes, and what made detection or recovery slower than it should have been.</w:t>
      </w:r>
    </w:p>
    <w:p>
      <w:pPr>
        <w:spacing w:after="100"/>
      </w:pPr>
      <w:r>
        <w:t xml:space="preserve">Blameless in practice, not just in name. The moment a post-mortem assigns fault, people stop volunteering the information that makes it useful.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Incident Lead records each agreed action with a named owner and a due date.</w:t>
      </w:r>
    </w:p>
    <w:p>
      <w:pPr>
        <w:spacing w:after="100"/>
      </w:pPr>
      <w:r>
        <w:t xml:space="preserve">An action without an owner and a date is not an action. This is where most post-mortems quietly fail.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Incident Lead updates or creates the procedures the incident revealed to be missing or wrong.</w:t>
      </w:r>
    </w:p>
    <w:p>
      <w:pPr>
        <w:spacing w:after="100"/>
      </w:pPr>
      <w:r>
        <w:t xml:space="preserve">This is the step that stops recurrence. If the incident happened because a recovery procedure did not exist, the post-mortem is not finished until it does.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Procedures updated and actions assigned: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Incident Lead  ·  Responder  ·  Communications Owner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After every high-severity incident, and quarterly regardless. This procedure is the one most likely to have been improved by recent experience.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own severity levels with concrete criteria in step 3, since 'customer impact' needs to mean something specific in your business.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notification window in step 4 to whatever your service commitments actually require.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real channels and status page. A procedure that says 'the agreed channel' is not followable at 2am.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have regulatory breach-notification duties, add them explicitly with their statutory deadlines. This template does not cover them.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https://sendabrief.com/templates/incident-response-and-post-mortem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2026-09-02T07:05:12.586Z</dcterms:created>
  <dcterms:modified xsi:type="dcterms:W3CDTF">2026-09-02T07:05:12.586Z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